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«Специализированный застройщик «Строительно-монтажное управление 27» (далее - ООО «СЗ «СМУ 27», Общество, истец, заявитель) обратилось в Арбитражный суд города Москвы с иском к обществу с ограниченной ответственностью «Специализированный застройщик «Миц-Инвестстрой» в лице технического заказчика ООО УК «ГК «МИЦ» (далее - ООО «СЗ «Миц-Инвестстрой», ответчик) о взыскании задолженности по договору генерального подряда № 17-ГП/2019 от 21.06.2019 в сумме 17 367 825,86 руб., неустойки в размере 868 391,29 руб. Решением Арбитражного суда города Москвы от 04.08.2023, оставленным без изменения постановлением Девятого арбитражного апелляционного суда от 24.10.2023, в удовлетворении исковых требований отказано. Постановлением Арбитражного суда Московского округа от 13.03.2024 указанные судебные акты оставлены без изменения. 2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и процессуального права. В обоснование доводов жалобы заявитель указывает, что суды ошибочно применили к спорным отношениям нормы о «гарантийном удержании» и приравняли сумму, истребуемую истцом у ответчика и обозначенную сторонами как «зарезервированная сумма», к нормам о применении правил о гарантийном удержании в период гарантийного срока. Удержание зарезервированной суммы сверх установленного срока, в отсутствие оснований, указанных в пункте 3.2 договора для такового удержания, действующим законодательством и договором не предусмотрено. Судами не учтен факт неуплаты заказчиком зарезервированной суммы с 15.10.2021.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21.06.2019 между Обществом и Компанией был заключен договор генерального подряда № 17-ГП/2019 (далее – договор), предметом которого являлось выполнение комплекса строительных работ. Цена договора составляет 347 356 516,52 руб. 29.12.2020 истец договор исполнил, заключение о соответствии построенного объекта капитального строительства требованиям технических регламентов и проектной документации выдано 29.12.2020. Акт ввода в эксплуатацию получен 16.02.2021. Последняя справка формы № КС-3 подписана 15.06.2021. Согласно акту сверки на 17.01.2023 за ответчиком по договору числится задолженность в размере 17 367 825,86 руб., в том числе, НДС 20%. Истец ссылается, что данные денежные средства являются зарезервированной суммой, удерживаемой заказчиком на период производства работ, что составляет 5% от стоимости выполненных работ. Согласно пункту 3.2 договора, зарезервированная сумма перечисляется заказчиком на расчетный счет генподрядчика в течение 4-х месяцев с даты наступления последнего из следующих событий: получения в отношении объекта разрешения на ввод объекта в эксплуатацию или подписание 3 сторонами акта приемки законченного строительством объекта по форме КС- 11. Ссылаясь на ненадлежащее исполнение ответчиком обязательств по возврату зарезервированной суммы, истец обратился в суд с настоящим иском. Суды первой и апелляционной инстанций, с выводами которых согласился суд округа, исследовав и оценив по правилам статей 9, 65, 68, 71 АПК РФ представленные в материалы дела доказательства, руководствуясь статьями 309-310, 317.1, 407, 410, 421, 702, 711, 721, 740, 746, 753, 755 Гражданского кодекса Российской Федерации, разъяснениями, изложенными в постановлении Пленума Верховного Суда Российской Федерации от 11.06.2020 № 6 «О некоторых вопросах применения положений Гражданского кодекса Российской Федерации о прекращении обязательств», правовой позицией, изложенной в информационном письме Президиума Высшего Арбитражного Суда Российской Федерации от 24.01.2000 № 51 «Обзор практики разрешения споров по договору строительного подряда», Обзоре судебной практики Верховного Суда Российской Федерации № 3 (2018), утвержденном Президиумом Верховного Суда Российской Федерации 14.11.2018, установив, что зарезервированная сумма удержана ответчиком в счёт неустойки за просрочку истцом выполнения работ и компенсации убытков ответчика, вызванных необходимостью выплаты участникам долевого строительства денежных средств за просрочку передачи объектов долевого строительства на основании решений судов, отказали в иске. Приведенные в кассационной жалобе доводы были предметом рассмотрения судов и получили правовую оценку,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«Специализированный застройщик «Строительно-монтажное управление 27»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