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последним судебным актом по существу спора, оспариваемым управлением, является постановление суда округа, вступившее в законную силу 28.02.2024. Жалоба направлена в Верховный Суд Российской Федерации 15.05.2024, то есть по истечении двухмесячного процессуального срока, предусмотренного частью 1 статьи 291.2 Арбитражного процессуального кодекса Российской Федерации. Одновременно с жалобой управлением подано ходатайство о восстановлении пропущенного срока. В соответствии с частью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срока уважительными. Рассмотрев ходатайство о восстановлении пропущенного процессуального срока, судья находит его обоснованным и подлежащим удовлетворению.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управления Федеральной налоговой службы по Самарской области о восстановлении пропущенного процессуального срока удовлетворить. Восстановить пропущенный процессуальный срок на обжалование постановлений Одиннадцатого арбитражного апелляционного суда от 28.11.2023 и Арбитражного суда Поволжского округа от 28.02.2024 по делу № А55-27955/2019. Судья И.В. Разумов Суд: Верховный Суд РФ (подробнее) Истцы: ИФНС РОССИИ ПО СОВЕТСКОМУ РАЙОНУ Г. САМАРЫ (подробнее) Федеральная налоговая служба России (подробнее) Иные лица: Арбитражный суд Поволского округа (подробнее) Арбитражный суд Самарской области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