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Калиниченко А.П. в Арбитражный суд Московской области обратился кредитор АКБ «Финансово- промышленный банк» (ПАО) в лице конкурсного управляющего ГК «АСВ» с заявлением, уточненным в порядке статьи 49 Арбитражного процессуального кодекса Российской Федерации, о признании недействительным нотариально заверенного соглашения о разделе имущества от 15.06.2016 и применении последствий недействительности сделки. Определением Арбитражного суда Московской области от 14.04.2023 заявление удовлетворено, признано недействительной сделкой нотариальное соглашение о разделе совместно нажитого имущества, оформленное посредством нотариального акта, заверенного 15.06.2016 нотариусом, применены последствия недействительности сделки в виде взыскания с Гороховой М.Е. в конкурсную массу должника 39 247 426 рублей. Постановлением Десятого арбитражного апелляционного суда от 18.12.2023 определение суда первой инстанции отменено, в удовлетворении заявления отказано. 2 Арбитражный суд Московского округа постановлением от 24.04.2024 постановление апелляционного суда отменил, определение суда первой инстанции оставил в силе в части признания сделки недействительной; определение суда первой инстанции в части применения последствий недействительности сделки отменил, в отмененной части обособленный спор направил на новое рассмотрение в Арбитражный суд Московской области. Калиниченко А.П. обратился в Судебную коллегию Верховного Суда Российской Федерации с кассационной жалобой на принятые по спору определение суда первой инстанции и постановление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сделку недействительной, суд первой инстанции, с выводами которого впоследствии согласился округа, руководствовался пунктом 2 статьи 61.2 Федерального закона от 26.10.2002 № 127-ФЗ «О несостоятельности (банкротстве)», разъяснениями, содержащимися в постановлении Пленума Верховного Суда Российской Федерации № 48 от 25.12.2018 «О некоторых вопросах, связанных с особенностями формирования и распределения конкурсной массы в делах о банкротстве граждан», и исходил из того, что соглашение о разделе имущества заключено заинтересованными лицами, с целью вывода активов должника из конкурсной массы и причинения вреда имущественным правам кредиторов. Направляя спор на новое рассмотрение в части применения последствий недействительности сделки, суд округа действовал в пределах полномочий, установленных статьями 287, 288 Арбитражного процессуального кодекса Российской Федерации. Доводы кассационной жалобы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