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«ВМТ» обратилось в Арбитражный суд города Москвы с иском, уточненным в порядке статьи 49 Арбитражного процессуального кодекса Российской Федерации, о взыскании с ПАО «Сегежа Групп» 4 269 585 рублей 91 копейки задолженности и 892 644 рублей 65 копеек неустойки. Решением Арбитражного суда города Москвы от 09.11.2023 в удовлетворении иска отказано. Постановлением Девятого арбитражного апелляционного суда от 22.12.2023 решение суда первой инстанции оставлено без изменения. Арбитражный суд Московского округа постановлением от 16.04.2024 указанные судебные акты оставил без изменения. ООО «ВМТ»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статьями 15, 309 310, 801, 803 Гражданского кодекса Российской Федерации, положениями Федерального закона от 30.06.2003 № 87-ФЗ «О транспортно-экспедиционной деятельности» и, исследовав и оценив представленные по делу доказательства по правилам статьи 71 Арбитражного процессуального кодекса Российской Федерации, пришли к выводу о том, что спорные дополнительные расходы возникли по вине истца. Доводы кассационной жалобы были предметом рассмотрения судов,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