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Масло Павла Моисеевича в Арбитражный суд города Москвы обратился финансовый управляющий его имуществом с заявлением о признании недействительным договора купли-продажи транспортного средства от 23.08.2021, заключенного с Чонтуком Т.Д., и применении последствий недействительности сделки. Определением Арбитражного суда города Москвы от 26.07.2023, оставленным без изменения постановлением Девятого арбитражного апелляционного суда от 09.10.2023 и постановлением Арбитражного суда Московского округа от 07.03.2024, признан недействительным договор купли- продажи транспортного средства, применены последствия недействительности сделки в виде обязания Чонтука Т.Д. возвратить в конкурсную массу должника автомобиль. Чонтук Т.Д.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установив, что договор купли- продажи транспортного средства совершен в период неплатежеспособности должника, с существенным отклонением от рыночной цены автомобиля, с целью причинения вреда кредиторам, что привело к уменьшению конкурсной массы должника, пришли к выводу о наличии оснований для признания договора недействительным.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