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«Евровоз» (далее – Компания) обратилось в Арбитражный суд города Москвы с иском к Беловой Светлане Викторовне о привлечении к субсидиарной ответственности по обязательствам общества с ограниченной ответственностью «Абсолют» (далее – Общество) и взыскании 262 500 рублей убытков. Решением Арбитражного суда города Москвы от 12.12.2023, оставленным без изменения постановлением Девятого арбитражного апелляционного суда от 15.02.2024 и постановлением Арбитражного суда Московского округа от 25.04.2024,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судами норм материального и процессуального права. В обоснование доводов жалобы заявитель указывает, что надлежащим образом подтвердил факт уклонения ответчика от исполнения обязательств должника перед кредитором.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по делу № А40-260740/2019 с Общества в пользу Компании взыскано 262 500 рублей задолженности и 6253 рубля 56 копеек расходов по уплате государственной пошлины; решение вступило в законную силу 11.11.2019 и не исполнено. На момент заключения договора и подачи Компанией искового заявления, генеральным директором Общества являлась Белова Светлана Викторовна. В Единый государственный реестр юридических лиц 30.09.2021 внесена запись об исключении Общества из реестра в связи с недостоверностью сведений. Ссылаясь на умышленное уклонение от исполнения, вступившего в законную силу судебного акта,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статьями 21.1, 22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не установив недобросовестности в действиях Беловой С.В. и отметив, что само по себе исключение Общества из ЕГРЮЛ не может являться бесспорным доказательством вины ответчика. Материалы дела не содержат оснований для вывода о том, что ответчиком были предприняты недобросовестные действия по выводу активов должника, намеренное уклонение от погашений требований кредиторов, что Общество прекратило свою деятельность исключительно с целью неисполнения судебного акта. 3 В свою очередь, истец не представил доказательства, что он пытался взыскать денежные средства с должника, в том числе посредством института принудительного исполнения судебного акта Компания не была лишена возможности контроля за решениями, принимаемыми регистрирующим органом в отношении своего контрагента, а также могла своевременно направить заявление о том, что его права и законные интересы затрагиваются в связи с исключением Общества из ЕГРЮЛ.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«Евровоз»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