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Саратовской области с заявлением о привлечении Билинского М.П., Паршиной Т.И., Щитаевой С.В., ООО «ЗапБамСтроймеханизация «Механизированная колонна-160» и ООО «Стройтехника» к субсидиарной ответственности по обязательствам должника. Определением Арбитражного суда Саратовской области от 22.11.2023 в удовлетворении заявления отказано. Постановлениями Двенадцатого арбитражного апелляционного суда от 22.01.2024 и Арбитражного суда Поволжского округа от 01.04.2024 определение суда первой инстанции оставлено без изменения. Конкурсный управляющий обратился в Верховный Суд Российской Федерации с кассационной жалобой, в которой просит указанные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Разрешая спор и отказывая в удовлетворении заявления, суды первой и апелляционной инстанций руководствовались положениями статей 61.10, 61.11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недоказанности наличия всей совокупности условий, необходимой для привлечения ответчиков к субсидиарной ответственности по заявленным основаниям, с чем впоследствии согласился суд округа.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