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05.07.2024 обратился в Верховный Суд Российской Федерации с жалобой на определение судьи Верховного Суда Российской Федерации от 07.05.2024 № 310-ЭС24-5675, решение Арбитражного суда Воронежской области от 24.07.2023, постановление Девятнадцатого арбитражного апелляционного суда от 01.11.2023 и постановление Арбитражного суда Центрального округа от 31.01.2024 по делу № А14-6633/2023, заявив при этом ходатайство о восстановлении пропущенного срока подачи кассационной жалобы.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 судья Верховного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«МедЭксперт» о восстановлении пропущенного процессуального срока отказать. Жалобу возвратить заявителю.Судья Верховного Суда Российской Федерации Н.С. Чучунова Суд: Верховный Суд РФ (подробнее) Истцы: ООО "МедЭксперт" (подробнее) Ответчики: Управа Центрального района городского округа город Воронеж Администрации городского округа город Воронеж Воронежской области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