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Москвы обратился ФИО2 с заявлением о включении в реестр требований кредиторов должника задолженности в размере 2 213 208 рублей. Определением Арбитражного суда города Москвы от 25.10.2023, оставленным без изменения постановлением Девятого арбитражного апелляционного суда от 15.01.2024, отказано в восстановлении срока на обращение в суд с заявлением о включении требования в реестр требований кредиторов должника; требование ФИО2 признано обоснованным, подлежащим удовлетворению за счет имущества должника, оставшегося после удовлетворения требований кредиторов, включенных в реестр требований кредиторов должника. Арбитражный суд Московского округа постановлением от 25.03.2024 отменил судебные акты и направил обособленный спор на новое рассмотрение в суд первой инстанции. ФИО1 обратился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возражения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Инспекция Федеральной налоговой службы №29 по г. Москве (подробнее) Иные лица: Ассоциация арбитражных управляющих саморегулируемая организация "Центральное агентство арбитражных управляющих" (подробнее) АССОЦИАЦИЯ "НАЦИОНАЛЬНАЯ ОРГАНИЗАЦИЯ АРБИТРАЖНЫХ УПРАВЛЯЮЩИХ"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