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Тульской области от 25.09.2023, оставленным без изменения постановлением Двадцатого арбитражного апелляционного суда от 05.02.2024 и постановлением Арбитражного суда Центрального округа от 27.04.2024, завершена процедура реализации имущества ФИО1 с освобождением должника от дальнейшего исполнения требований кредиторов, в том числе требований, не заявленных при введении процедур реструктуризации долгов и реализации имущества гражданина. АО «Тинькофф Банк»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"Тинькофф Банк" (подробнее) ООО КБ "Ренессанс Кредит" (подробнее) ООО МФК "Быстроденьги" (подробнее) ООО "ПРАВО ОНЛАЙН" (подробнее) ООО "РСВ" (подробнее) ООО "Столичное АВД" (подробнее) Управление Федеральной налоговой службы по Тульской области (подробнее) Иные лица: НП Союз Межрегиональная саморегулируемая организация профессиональных арбитражных управляющих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