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«Альфа групп» (далее – ООО «Альфа групп», Общество, истец) обратилось в Арбитражный суд города Москвы с исковым заявлением к индивидуальному предпринимателю Степанову Роману Алексеевичу (далее - ИП Степанов Р.А., Предприниматель, ответчик, заявитель) о взыскании задолженности в размере 199 670,44 руб., убытков в сумме 4 221 358,44 руб. Решением Арбитражного суда города Москвы от 28.09.2023, оставленным без изменения постановлением Девятого арбитражного апелляционного суда от 06.12.2023, принят отказ ООО «Альфа Групп» от иска в части требования о взыскании задолженности в размере 199 670,44 руб., производство по делу в данной части прекращено; в остальной части заявленные требования удовлетворены. Постановлением Арбитражного суда Московского округа от 20.03.2024 указанные судебные акты оставлены без изменения.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числе прочих доводов податель жалобы указывает, что судами нарушены статьи 309-310, 421, 431 Гражданского кодекса Российской Федерации (далее – ГК РФ), неправильно применены статьи 65, 713, 728 ГК РФ, так как договор не расторгнут и не прекратил свое действие. Судами нарушены статьи 2, 7-8, 65-66, 71, 170 АПК РФ; не дана правовая оценка представленным ответчиком отчетам об использовании материалов и оборудования, актам о приемке выполненных работ по форме КС-2, подписанным сторонами (в том числе и истцом); не отражены мотивы, по которым отвергнуты доводы ответчика.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ООО «Альфа Групп» (Подрядчик) и ИП Степановым Р.А. (Субподрядчик) заключен Договор субподряда № 153/05-ПД-ИСХ-21 от 20.05.2021 и Договор субподряда № 154/05-ПД-ИСХ-21 от 20.05.2021 (далее – Договоры), в соответствии с которыми Субподрядчик обязался выполнить работы на объектах, установленных в предметах Договоров согласно проектной и рабочей документации, с соблюдением требований технических регламентов, технических условий, государственных стандартов, строительных норм и правил. Все договоры субподряда были заключены в рамках программы по капитальному ремонту поликлиник в городе Москве. В качестве генерального подрядчика, осуществлявшего контроль и финансирование, выступала одна организация АО «ГК «ЕКС». Обеспечение материалами производилось на давальческой основе и ОА «ГК «ЕКС» и истцом в рамках указанной выше единой программы капитальных ремонтов поликлиник в городе Москве. Согласно условиям Договоров, Субподрядчик до 15 (пятнадцатого) числа месяца, следующего за месяцем выполнения работ (этапа работ) представляет Подрядчику: исполнительную документацию, оформленную в соответствии с РД11-02-2006 и требованиями к ИД; акт о приемке выполненных работ 3 (унифицированная форма № КС-2, утвержденная Постановлением Госкомстата России от 11.11.1999 № 100 за отчетный период в 2-х (двух) экземплярах; справку о стоимости выполненных работ и затрат (унифицированная форма № КС-3, утвержденная Постановлением Госкомстата России от 11.11.1999 № 100) за отчетный период в 2-х (двух) экземплярах. Согласно Дополнительному соглашению № 1 к Договору субподряда № 153/05- ПД-ИСХ-21 от 20.05.2021 срок окончания работ – 10.03.2022. Согласно Дополнительному соглашению № 1 к Договору субподряда № 154/05-ПД-ИСХ-21 от 20.05.2021 срок окончания работ – 10.03.2021. С учетом указанных выше дат завершения работ, отчетная документация, включая полные комплекты исполнительной документации по Договору субподряда № 153/05-ПД-ИСХ-21 от 20.05.2021, должны были быть сданы не позднее 25.03.2022, и аналогично по Договору субподряда № 154/05-ПД-ИСХ- 21 от 20.05.2021 - не позднее 25.03.2021. Сроки Договоров подряда, заключенные истцом и генеральным подрядчиком по объектам, на которых осуществлялась работа ответчиком, закончили свое действие в марте 2022 года. 10.01.023 истцом в целях досудебного урегулирования спора в адрес ответчика была направлена досудебная претензия, в которой последнему было предложено в установленный срок представить отчетные документы и возвратить неотработанный аванса, а также оплатить материалы, по которым не было представлено отчетной документации и которые не были возвращены. Как указал истец, по материалам Субподрядчиком не представлена отчетная документация на общую сумму 3 517 798,70 руб., кроме того НДС 20% - 703 559,74 руб.: - по Договору субподряда № 153/05-ПД-ИСХ-21 - на сумму 860 308,81 руб., кроме того НДС 20% - 172 061,76 руб.; по Договору субподряда № 154/05-ПД-ИСХ-21 - на сумму 2 657 489,89 руб., кроме того НДС 20% - 531 497,98 руб. Согласно пункту 7.1 Договоров по соглашению сторон, в соответствии с промежуточным планом работ, утвержденном руководителем проекта Подрядчик может принять на себя обязанность полностью или частично обеспечить Субподрядчика необходимыми инструментами и оборудованием. Стоимость необходимого оборудования и инструментов Подрядчик имеет право удержать из стоимости фактически выполненных работ. Из пункта 7.2 Договоров следует, что материалы, оборудование и изделия для производства работ предоставляются истцом. В соответствии с пунктом 7.4 Договоров передача материалов и оборудования производится по унифицированной форме № М-15 «Накладная на отпуск материалов на сторону», с пометкой «Давальческие материалы». Согласно пункту 7.5 Договоров Субподрядчик несет ответственность за порчу, кражу и перерасход полученных от Подрядчика материалов и оборудования для производства работ, с момента подписания сторонами документов, указанных в пункте 7.4 настоящих Договоров. В случае утраты, порчи и/или повреждения давальческих материалов и оборудования допоставка 4 (замена) необходимого количества материалов и оборудования осуществляется Субподрядчиком за свой счет. Договорами установлено, что ежемесячно по Договору Субподрядчик предоставляет Подрядчику отчет об израсходованных давальческих материалах, заверенный уполномоченным лицом Субподрядчика (пункт 7.6.), а способами возврата давальческих материалов и оборудования являются: возврат неиспользованных давальческих материалов и оборудования Подрядчику согласно отчету по унифицированной форме № М-15 с пометкой «Возврат давальческих материалов»; возмещение Подрядчику рыночной стоимости давальческих материалов и оборудования (пункт 7.8.). При этом в случае прекращения и и/или досрочного расторжения настоящего Договора Субподрядчик обязан возвратить по акту приема-передачи остаток материалов Подрядчику, в таре и упаковке, которая способна обеспечить сохранность материалов и оборудования во время транспортировки и хранения. Субподрядчик за свой счет погашает все убытки, возникшие от порчи, повреждения или поломки материалов и оборудования вследствие их ненадлежащей или некачественной упаковки (пункт 7.10.). Как указал истец, ни одного из указанных действий ответчиком не было произведено. Размер убытков составил 4 221 358,44 руб. В целях досудебного урегулирования спора, истец направил в адрес ответчика претензию с требованием возместить понесенные убытки. Поскольку в добровольном порядке ответчиком задолженность не была погашена, а реализованный истцом досудебный порядок урегулирования спора не принес положительного результата, истец обратился в суд с настоящим иском. Суды первой и апелляционной инстанций, с выводами которых согласился суд округа, исследовав и оценив по правилам статей 9, 65, 68, 71 АПК РФ представленные в материалы дела доказательства, руководствуясь статьями 15, 702, 713-714, 393 Гражданского кодекса Российской Федерации (далее – ГК РФ),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удовлетворили иск. При этом судебные инстанции исходили из того, что факт передачи ответчику давальческого материала на спорную сумму подтвержден подписанными в двустороннем порядке накладными. Ответчик не представил доказательств того, что накладные были подписаны неуполномоченным лицом, о фальсификации не заявил. В удовлетворении ходатайства ответчика о назначении почерковедческой экспертизы судом отказано в связи с отсутствием оснований, предусмотренных частью 1 статьи 82 АПК РФ. 5 Доводы ответчика о том, что спорные материалы были использованы им при производстве работ, отклонены судом кассационной инстанции как неподтвержденные документально. Приведенные в кассационной жалобе доводы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Степанова Романа Алексеевича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