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оснований для замены, предусмотренных частью 3 статьи 18 Арбитражного процессуального кодекса Российской Федерации, определение о замене судьи выносится председателем судебного 2 состава (председателем судебной коллегии, председателем арбитражного суда) без проведения судебного заседания. В связи с длительным отсутствием судьи Верховного Суда Российской Федерации Иваненко Ю.Г. (по причине отпуска) кассационную жалобу следует передать судье Верховного Суда Российской Федерации Антоновой М.К.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третьего судебного состава Судебной коллегии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Верховного Суда Российской Федерации Иваненко Ю.Г. на судью Верховного Суда Российской Федерации Антонову М.К. по кассационному производству № 310-ЭС24-9642. И.о. председателя судебного состава,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