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 отпуска, пребывания на учебе, нахождения в служебной командировке. Как разъяснено в пункте 3.7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оснований для замены, предусмотренных частью 3 статьи 18 Арбитражного процессуального кодекса Российской Федерации, определение о замене судьи выносится председателем судебного 2 состава (председателем судебной коллегии, председателем арбитражного суда) без проведения судебного заседания. В связи с длительным отсутствием судьи Верховного Суда Российской Федерации Иваненко Ю.Г. (по причине отпуска) кассационную жалобу следует передать судье Верховного Суда Российской Федерации Першутову А.Г. На основании изложенного, руководствуясь статьями 18, 184 Арбитражного процессуального кодекса Российской Федерации, исполняющий обязанности председателя третьего судебного состава Судебной коллегии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произвести замену судьи Верховного Суда Российской Федерации Иваненко Ю.Г. на судью Верховного Суда Российской Федерации Першутова А.Г. по кассационному производству № 305-ЭС24-5097. И.о. председателя судебного состава, судья Верховного Суда Российской Федерации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