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оснований для замены, предусмотренных частью 3 статьи 18 Арбитражного процессуального кодекса Российской Федерации, определение о замене судьи выносится председателем судебного 2 состава (председателем судебной коллегии, председателем арбитражного суда) без проведения судебного заседания. В связи с длительным отсутствием судьи Верховного Суда Российской Федерации Иваненко Ю.Г. (по причине отпуска) кассационную жалобу следует передать судье Верховного Суда Российской Федерации Першутову А.Г.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третьего судебного состава Судебной коллегии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Верховного Суда Российской Федерации Иваненко Ю.Г. на судью Верховного Суда Российской Федерации Першутова А.Г. по кассационному производству № 305-ЭС24-5745. И.о. председателя судебного состава,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