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04.07.2024 обратился в Верховный Суд Российской Федерации с жалобой на определение судьи Верховного Суда Российской Федерации от 14.06.2024 № 309-ЭС24-10682, постановление Восемнадцатого арбитражного апелляционного суда от 22.12.2023 и постановление Арбитражного суда Уральского округа от 21.03.2024 по делу № А76-1896/2023,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комитетом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комитету.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Комитета по делам образования города Челябинска о восстановлении пропущенного срока подачи кассационной жалобы отказать. Кассационную жалобу возвратить заявителю.Судья Верховного Суда А.Г. ПершутовРоссийской Федерации Суд: Верховный Суд РФ (подробнее) Истцы: УПРАВЛЕНИЕ МУНИЦИПАЛЬНЫХ ЗАКУПОК АДМИНИСТРАЦИИ ГОРОДА ЧЕЛЯБИНСКА (подробнее) Ответчики: Управление Федеральной антимонопольной службы по Челябинской области (подробнее) Иные лица: Арбитражный суд Уральского округа (подробнее) Прокуратура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