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гражданина Сухомлинова В.М. в Арбитражный суд Ростовской области обратился ИП Ивченко А.А. с заявлением о включении 259 933 рублей 23 копеек в реестр требований кредиторов должника. Определением Арбитражного суда Ростовской области от 09.10.2023, оставленным без изменения постановлением Пятнадцатого арбитражного апелляционного суда от 28.11.2023 и постановлением Арбитражного суда Северо-Кавказского округа от 07.03.2024, требование предпринимателя в заявленной сумме включено в третью очередь реестра требований кредиторов должника. Сухомлинов Д.В. (наследник должника)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16, 71, 100 Федерального закона от 26.10.2002 № 127-ФЗ «О несостоятельности (банкротстве)», статьями 182, 454, 506 Гражданского кодекса Российской Федерации и исходили из обоснованности и доказанности размера задолженности за поставленный должнику товар на основании товарных накладных, о фальсификации которых не заявлено, и отсутствия доказательств его оплаты.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