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Сухомлинова В.М. в Арбитражный суд Ростовской области обратился Саркисян А.Ю. с заявлением о включении 4 770 478 рублей 22 копеек задолженности в реестр требований кредиторов должника. Определением Арбитражного суда Ростовской области от 24.10.2023, оставленным без изменения постановлением Пятнадцатого арбитражного апелляционного суда от 09.12.2023 и постановлением Арбитражного суда Северо-Кавказского округа от 12.03.2024, требование Саркисяна А.Ю. в размере 4 739 000 рублей, из которых 3 500 000 рублей основного долга и 1 239 000 рублей процентов за пользование займом, включено в третью очередь реестра требований кредиторов должника; в удовлетворении заявления в остальной части отказано. Сухомлинов Д.В. (наследник должника)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16, 71, 100, 142 Федерального закона от 26.10.2002 № 127-ФЗ «О несостоятельности (банкротстве)», статьями 809, 810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реальности заемных отношений, наличия у кредитора финансовой возможности предоставить займ, отсутствия доказательств возврата займа, а также пришли к выводу о необоснованности требования о включении в реестр требований кредиторов должника суммы судебных расходов.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