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Богус С.А. в Арбитражный суд Республики Адыгея обратилась должник с заявлением о признании недействительными договора займа с залогом недвижимого имущества от 06.11.2019 и дополнительного соглашения от 26.03.2020, заключенных Батом А.А., Богусом Р.Ю. и Халишем Т.Б., и применении последствий недействительности сделок. Определением Арбитражного суда Республики Адыгея от 30.08.2023 в удовлетворении заявления отказано. Постановлением Пятнадцатого арбитражного апелляционного суда от 12.11.2023 определение суда первой инстанции оставлено без изменения. Арбитражный суд Северо-Кавказского округа постановлением от 04.03.2024 указанные судебные акты оставил без изменения. Богус С.А.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статей 10, 157, 166, 334, 334.1, 339.1, 253, 256 Гражданского кодекса Российской Федерации, статьями 2, 4, 34, 35 Семейного кодекса Российской Федерации, статьей 213.32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пришли к выводу о том, что поведение должника направлено не на защиту прав и законных интересов, а свидетельствует о злоупотреблении в общих с супругом интересах в целях воспрепятствования в реализации прав и законных интересов залогодержателя, а также признали пропущенным срок исковой давности.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