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Антонова Дмитрия Валерьевича в Арбитражный суд Ивановской области обратился Соболев Дмитрий Сергеевич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2 100 000 рублей, возникшего из неисполнения должником денежного обязательства по договорам займа от 26.04.2019, 06.08.2019 и 16.09.2019. Определением Арбитражного суда Ивановской области от 01.12.2023, оставленным без изменения постановлением Второго арбитражного апелляционного суда от 16.02.2024 и постановлением Арбитражного суда Волго-Вятского округа от 22.04.2024, заявление удовлетворено, требование признано обоснованным и подлежащим удовлетворению за счет имущества, оставшегося после удовлетворения требований кредиторов, включенных в реестр требований кредиторов должника. ООО «ПРС»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807, 808, 809, 810, 811 Гражданского кодекса Российской Федерации, статьями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выводам о доказанности реального предоставления должнику заемных денежных средств, наличия у кредитора финансовой возможности предоставить заем в оспариваемой сумме, отсутствия доказательств надлежащего исполнения обязательств по возврату займа, признав заявленное требование обоснованным и подлежащим удовлетворению за счет имущества, оставшегося после удовлетворения требований кредиторов, включенных в реестр. Доводы, изложенные в кассационной жалобе, в том числе о пропуске срока исковой давности,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