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Антонова Дмитрия Валерьевича в Арбитражный суд Ивановской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недвижимого имущества (жилого дома и земельного участка) от 06.11.2019, заключенного должником с Поповым Дмитрием Николаевичем, и применении последствий недействительности сделки. К участию в обособленном споре привлечен Севрюков Сергей Юрьевич. Определением Арбитражного суда Ивановской области от 07.12.2023 в удовлетворении заявления отказано. Постановлением Второго арбитражного апелляционного суда от 12.02.2024 определение суда первой инстанции оставлено без изменения. Арбитражный суд Волго-Вятского округа постановлением от 15.04.2024 указанные судебные акты оставил без изменения. 2 ООО «ПРС»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оспариваемой сделки недействительной как совершенной с целью причинения вреда имущественным правам кредиторам, установив, что сделка совершена при равноценном встречном предоставлении, у ответчика имелась финансовая возможность для приобретения недвижимого имущества, фактическая аффилированность между должником и ответчиком не установлена, основания для признания недействительности сделки по общим гражданским основаниям отсутствуют. Доводы, изложенные в кассационной жалобе,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