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обратился финансовый управляющий с заявлением об утверждении Положения о порядке, сроках и условиях реализации имущества должника, включающего в составе единого лота жилой дом и земельный участок, с начальной ценой лота 30 000 000 рублей. Определением Арбитражного суда города Москвы от 14.09.2023 заявление удовлетворено. Постановлением Девятого арбитражного апелляционного суда от 30.11.2023 определение суда первой инстанции оставлено без изменения. Арбитражный суд Московского округа постановлением от 23.04.2024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213.25 , 213.26 Федерального закона от 26.10.2002 № 127-ФЗ «О несостоятельности (банкротстве)», статьей 37 Семейного кодекса Российской Федерации, статьей 446 Гражданского процессуального кодекса Российской Федерации, разъяснениями, изложенными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установив, что спорное имущество является совместной собственностью супругов, пришли к выводу о наличии оснований для утверждения Положения о реализации недвижимого имущества должника, представленное финансовым управляющим, в предложенной редакции.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"Алмаз" (подробнее) ООО "Столичное агентство по возврату долгов" (подробнее) ООО "Эльтон" (подробнее) ПАО "МТС-Банк" (подробнее) ПАО "Сбербанк России"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