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Парамонов Е.В. обратился в Арбитражный суд города Санкт-Петербурга и Ленинградской области с исками, объединенными в одно производство, о взыскании с арбитражного управляющего Елисоветского О.И. убытков. Решением Арбитражного суда города Санкт-Петербурга и Ленинградской области от 26.06.2023, оставленным без изменения постановлением Тринадцатого арбитражного апелляционного суда от 15.11.2023 и постановлением Арбитражного суда Северо-Западного округа от 11.04.2024, производство по требованию в части взыскания 229 625 694 рублей прекращено; в остальной части в удовлетворении иска отказано. Парамонов Е.В.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 в части взыскания 20 000 001 рубля убытков, суды руководствовались положениями статей 15, 393 Гражданского кодекса Российской Федерации и исходили из недоказанности наличия совокупности обстоятельств, влекущих возможность привлечении ответчика к гражданско-правовой ответственности в виде возмещения убытков. Прекращая производство по искам в остальной части, суды исходили из того, что имеется вступивший в законную силу принятый по спору между теми же лицами, о том же предмете и по тем же основаниям судебный акт арбитражного суда.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