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«Частный дом» (далее – Общество) обратилось в Арбитражный суд Московской области с исковым заявлением к обществу с ограниченной ответственностью «БМ-Металл» о взыскании 3 343 741 рубля неосновательного обогащения и 3 343 741 рубля неустойки. Определением Арбитражного суда Московской области от 25.04.2023, оставленным без изменения постановлением Арбитражного суда Московского округа от 08.04.2024, производство по делу прекращено в связи с утверждением мирового соглашения.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процессуального права. В обоснование доводов жалобы заявитель указывает, что фактически задолженность перед Обществом намного больше, чем указано в мировом соглашении.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Утверждая мировое соглашение, суд первой инстанции руководствовался положениями статей 138 , 139 , 140 АПК РФ и исходил из того, что условия мирового соглашения в редакции, предложенной сторонами, не противоречат закону и не нарушают права и законные интересы других лиц. Суд округа, проверяя возражения и оставляя судебный акт без изменения, указал, что определением Арбитражного суда Московской области от 25.10.2023 отказано в удовлетворении заявления о пересмотре судебного акта суда первой инстанции по вновь открывшимся обстоятельствам, в частности, дана оценка доводам ФИО1 относительно не подписания им универсальных передаточных документов, предоставленных в материалы дела в качестве доказательств того факта, что поставки товара на сумму 2750972,00 руб. не осуществлена. Доводы кассационной жалобы не свидетельствуют о допущенных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ЧАСТНЫЙ ДОМ (подробнее) Ответчики: ООО БМ-МЕТАЛЛ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