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28.06.2024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Как следует из обжалуемых судебных актов, заявитель являлся инициатором обращения с кассационной жалобой в суд округа, и знал о состоявшихся судебных актах. Текст последнего обжалуемого судебного акта согласно данным Картотеки арбитражных дел своевременно размещен в сети Интернет и с этого момента был доступен для ознакомления и подготовки жалобы. Рассмотрение в Верховном Суде Российской Федерации кассационной жалобы по иному делу само по себе не может являться уважительной причиной пропуска срока и не может служить самостоятельным основанием для восстановления пропущенного процессуального срока. Лица, участвующие в деле, несут риск наступления последствий совершения или несовершения ими процессуальных действий (часть 2 статьи 9 Арбитражного процессуального кодекса Российской Федерации). Произвольное восстановление процессуального срока на обжалование судебного акта нарушало бы принцип равноправия сторон, установленный статьей 8 Арбитражного процессуального кодекса Российской Федерации. В связи с тем, что причины пропуска срока на подачу кассационной жалобы не признаны уважительными и не зависящими от заявителя, оснований для восстановления срока не имеется. Руководствуясь статьями 117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ФИО1 о восстановлении пропущенного срока отказать, кассационную жалобу возвратить заявителю. Судья Верховного Суда Российской Федерации А.Г. Першутов Суд: Верховный Суд РФ (подробнее) Истцы: Управление Федеральной службы государственной регистрации, кадастра и картографии по Москве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