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Оценив в соответствии с требованиями главы 7 Кодекса представленные сторонами доказательства (учитывая вступившее в законную силу решение Арбитражного суда города Москвы по делу № А40-254974/2019), исходя из фактических обстоятельств дела, руководствуясь статьями 15 , 16 , 1069 Гражданского кодекса Российской Федерации, установив незаконность действий таможни, доказанность обществом несения убытков в виде стоимости изъятого таможенным органом товара, расходов на уплату в отношении спорного товара таможенных пошлин и налогов, наличие причинно-следственной связи между возникновением убытков и неправомерными действиями таможни, доказанность размера понесенных убытков, суды удовлетворили заявленные требования.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Н.В. Павлова Суд: Верховный Суд РФ (подробнее) Истцы: Московская таможня (подробнее) ООО ТОРГОВЫЙ ДОМ "ПИР" (подробнее) Ответчики: Федеральная таможенная служба (подробнее) Судьи дела: Павлова Н.В. (судья) Последние документы по делу: Определение от 4 июля 2024 г. по делу № А40-116963/2022 Определение от 20 сентября 2023 г. по делу № А40-116963/2022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