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производственно-конструкторское предприятие «Вэлко-2000» (далее – ООО ПКП «Вэлко-2000», Общество, истец)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акционерному обществу «Риццани Де Эккер С.П.А.» (далее – АО «Риццани Де Эккер С.П.А.») о взыскании задолженности в сумме 400 000 евро по курсу Центрального Банка Российской Федерации (далее - ЦБ РФ) на день платежа, процентов в соответствии со статьей 395 Гражданского кодекса Российской Федерации (далее – ГК РФ) в сумме 2 236,02 евро по курсу ЦБ РФ на день платежа. Решением Арбитражного суда города Москвы от 21.08.2023, оставленным без изменения постановлением Девятого арбитражного апелляционного суда от 07.11.2023, исковые требования удовлетворены в полном объеме. Постановлением Арбитражного суда Московского округа от 04.03.2024 указанные судебные акты оставлены без изменения.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в пункте 15 договора гарантийного обслуживания содержится арбитражное соглашение, которое предусматривает согласие сторон на рассмотрение их споров по Правилам Международной Торговой Палаты (МТП); Место арбитража – Стокгольм, Швеция. Арбитражное разбирательство ведется на английском языке. Судами необоснованно отказано в удовлетворении ходатайства ответчика об оставлении искового заявления без рассмотрения, при наличии в договоре действительной, исполнимой, не утратившей силу арбитражной оговорки и при отсутствии мер ограничительного характера в отношении истца.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АО «Риццани де Эккер С.П.А.» в лице филиала в России (подрядчик) и ООО ПКП «Вэлко-2000» (субподрядчик) заключен договор на гарантийное обслуживание № 20200298 от 23.03.2020. Согласно пункту 1 договора субподрядчик гарантирует соответствие работ всем требованиям договора субподряда и его приложений (гарантия, гарантийные обязательства). В соответствии с пунктом 7 договора вознаграждение, причитающееся субподрядчику за выполнение им обязательств по настоящему договору, является фиксированным (твердым) и составляет 400 000 евро. Согласно пункту 8 договора вознаграждение уплачивается субподрядчику в следующем порядке: а) часть суммы вознаграждения в размере 200 000 евро- в течение 10 дней по истечении 12 месяцев с даты заключения настоящего соглашения; б) часть суммы вознаграждения в размере 200 000 евро- в течение 10 дней после подписания сторонами акта выполненных работ, указанного в пункте 12 настоящего договора. В соответствии с пунктом 12 договора обязанности субподрядчика считаются исполненными в момент выдачи субподрядчиком подрядчику акта выполненных работ с указанием даты, на которую субподрядчик полностью исполнил обязательства по настоящему договору. Акт выполненных работ должен быть выдан субподрядчику подрядчиком в течение 10 календарных 3 дней с даты истечения срока выполнения субподрядчиком своих обязательств по настоящему договору на обслуживание. Согласно пункту 3 договора стороны пришли к соглашению, что гарантийные обязательства начинают исчисление и будут действовать в течение 24 месяцев с момента подписания сторонами настоящего договора и акта о приемке работ на гарантийный период. Акт приемки работ на гарантийный период подписан сторонами 23.03.2020. Исходя из приведенных условий договора, обязанность ответчика по уплате вознаграждения в размере 200 000 евро наступила 05.04.2021. Обязанность по оплате второй части вознаграждения в размере 200 000 евро наступила 04.04.2022. Таким образом, ответчик имеет перед истцом задолженность по договору в размере 400 000 евро.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309-310, 395, 421, 702, 711 ГК РФ, установив, что обязательства ответчика по оплате истцу согласованного в договоре вознаграждения наступили, констатировав неисполнение ответчиком своих обязательств по оплате, удовлетворили иск.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«Риццани Де Эккер С.П.А.»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