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зачете государственной пошлины при подаче кассационной жалобы. Согласно статьям 102, 104 Арбитражного процессуального кодекса Российской Федерации (далее – АПК РФ) основания и порядок уплаты государственной пошлины, а также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по заявлению плательщика, предъявленному в уполномоченный орган (должностному лицу), 2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содержащимся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Рассмотрев ходатайство заявителя и представленные в его обоснование документы, суд приходит к выводу об отсутствии оснований для его удовлетворения, поскольку оригиналы документов, необходимых для зачета государственной пошлины, заявителем в Верховный Суд Российской Федерации не представлены. В соответствии с пунктом 1 части 1 статьи 291.5 АПК РФ отсутствие приложенных к кассационной жалобе документов, подтверждающих уплату государственной пошлины, является самостоятельным основанием для возвращения кассационной жалобы без рассмотрения по существу. На основании изложенного, руководствуясь статьями 104, 184, 291.5 АПК РФ, статьей 333.40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в удовлетворении ходатайства общества с ограниченной ответственностью «Рециклинговая компания» о зачете государственной пошлины отказать, кассационную жалобу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