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Пермского края обратился кредитор ФИО2 с заявлением о признании недействительными сделками договоров купли-продажи недвижимости от 31.05.2014, заключенных должником с ФИО3, и договоров купли-продажи этих же объектов недвижимости от 26.01.2019, заключенных ФИО3 с ФИО4, и применении последствий недействительности сделок. К участию в рассмотрении обособленного спора в качестве третьего лица, не заявляющего самостоятельных требований относительно предмета спора, привлечено СНТ «Берег-Камы-2». Определением Арбитражного суда Пермского края от 12.10.2023 заявление удовлетворено, оспариваемые договоры признаны недействительными сделками, применены последствия недействительности сделок в виде возврата спорных объектов недвижимости в конкурсную массу должника. Постановлением Семнадцатого арбитражного апелляционного суда от 14.12.2023 определение суда первой инстанции оставлено без изменения. Арбитражный суд Уральского округа постановлением от 01.03.2024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10 , 168 , 170 Гражданского кодекса Российской Федерации и исходили из того, что спорные договоры являются единой цепочкой взаимосвязанных сделок, направленных на смену титульного собственника объектов недвижимости, в целях сокрытия имущества от обращения взыскания кредиторов, при фактическом сохранении домовладения в распоряжении должника; недвижимое имущество отчуждено должником при наличии неисполненных обязательств перед кредитором, доказательств оплаты и наличия финансовой возможности у покупателей на приобретение спорных объектов не представлено. Доводы кассационной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 установленные абзацем 2 части 3 статьи 291.6 Арбитражного процессуального кодекса Российской Федерации, оснований для рассмотрения ходатайства о приостановлении исполнения судебных актов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Инспекция Федеральной налоговой службы по Дзержинскому району г. Перми (подробнее) ПАО "Сбербанк России" (подробнее) Иные лица: МИФНС №19 по Пермскому краю (подробнее) МОСП по ИПДР УФССП России по Пермскому краю (подробнее) НП "СРО АУ "Сибирский центр экспертов антикризисного управления" (подробнее) ОАО БАНК "ФИНАНСОВАЯ КОРПОРАЦИЯ ОТКРЫТИЕ" (подробнее) ООО "Консалтинг-Р" (подробнее) ООО "Р-Консалтинг" (подробнее) ПК "Роскадастр"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