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финансовый управляющий его имуществом с заявлением о признании недействительным договора купли-продажи транспортного средства от 02.08.2022, заключенного с ФИО1, и применении последствий недействительности сделки. Определением Арбитражного суда города Москвы от 25.10.2023 в удовлетворении заявления отказано. Постановлением Девятого арбитражного апелляционного суда от 11.01.2024 определение суда первой инстанции отменено, договор купли-продажи признан недействительным, применены последствия недействительности сделки в виде возврата в конкурсную массу должника спорного транспортного средства. Постановлением Арбитражного суда Московского округа от 28.03.2024 постановление суда апелляционной инстанции оставлено без изменения.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судов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статьями 61.1 - 61.9 , 213.11 , 213.32 Федерального закона от 26.10.2002 № 127-ФЗ «О несостоятельности (банкротстве)», статьями 173.1 , 174 Гражданского кодекса Российской Федерации, разъяснениями, данными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исходили из наличия оснований для признании спорной сделки недействительной, учитывая совершение сделки после введения процедуры реструктуризации долгов, отсутствие письменного согласия финансового управляющего на совершение сделки, непоступление денежных средств в конкурсную массу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"Альфа-Банк" (подробнее) ИФНС России №24 по г. Москве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