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поданная заявителем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возвращена письмом Верховного Суда Российской Федерации от 14.05.2024 в связи с отсутствием ходатайства о восстановлении пропущенного срока. Настоящая кассационная жалоба на указанные судебные акты подана заявителем в электронном виде 10.06.2024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является постановление Арбитражного суда Московского округа от 27.02.2024, вступившее в законную силу, согласно части 5 статьи 289 АПК РФ , со дня его принятия – 27.02.2024, следовательно, двухмесячный срок на подачу кассационной жалобы истек 27.04.2024, тогда как жалоба подана 10.06.2024.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указано исчисление срока подачи жалобы с 28.02.2024 (момента публикации) и его истечение 28.04.2024. Между тем, срок на подачу кассационной жалобы исчисляется с даты изготовления арбитражным судом судебного акта в полном объеме. День окончания процессуального срока определяется в соответствии со статьей 114 АПК РФ . Правовых оснований для иного исчисления срока подачи жалобы не имеется. Информация о принятом судебном акте размещена судом кассационной инстанции своевременно – обжалуемое постановление окружного судаот 27.02.2024 опубликовано в информационно-телекоммуникационной сети «Интернет» 28.02.2024 в соответствии с пунктом 4.2 постановления Президиума Верховного Суда Российской Федерации от 27.09.2017 «Об утверждении Положения о порядке размещения текстов судебных актов на официальных сайтах Верховного Суда Российской Федерации, судов общей юрисдикции и арбитражных судов в информационно-телекоммуникационной сети «Интернет»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Неправильное исчисление заявителем срока подачи кассационной жалобы, не соответствующее положениям статей 113 , 114 АПК РФ и разъяснениям, изложенным в постановлении Пленума Высшего Арбитражного Суда Российской Федерации от 25.12.2013 № 99 «О процессуальных сроках», не может продлевать законно установленный двухмесячный срок на подачу жалобы и не является уважительной причиной пропуска срока, установленного статьей 291.2 АПК РФ .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Зарубина Е.Н. Суд: Верховный Суд РФ (подробнее) Иные лица: АНО "ИССЛЕДОВАТЕЛЬСКИЙ ЦЕНТР СУДЕБНОЙ ЭКСПЕРТИЗЫ "АНАЛИЗ" (подробнее) АНО "Судебный эксперт" (подробнее) АО "Тинькофф Банк" (подробнее) АССОЦИАЦИЯ ЕВРОСИБИРСКАЯ СРО АУ (подробнее) ИФНС №20 по г. Москве (подробнее) ООО Коммерческий банк "Ренессанс Кредит" (подробнее) ООО "Реал эксперт" (подробнее) ООО "Феникс" (подробнее) ПАО Московский банк Сбербанк (подробнее) СРО ААУ ЕВРОСИБ (подробнее) ТС Жилья "Луч-Свободный Проспект" (подробнее) ТСЖ "ЛУЧ-СВОБОДНЫЙ ПРОСПЕКТ"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