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Доводы, изложенные в кассационной жалобе, являлись предметом рассмотрения судов и получили необходимую правовую оценку. Иное толкование заявителем жалобы норм материального права не свидетельствует о неправильном применении их судами с учетом установленных обстоятельств дела.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«ТЕХНОРИН»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ГУ ФССП по МО (подробнее) ООО "Адамант" (подробнее) ООО "ТЕХНОРИН"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