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26.08.2021, оставленным без изменения постановлением Девятого арбитражного апелляционного суда от 30.12.2021, в иске отказано. Постановлением Арбитражного суда Московского округа от 14.04.2022 указанные судебные акты отменены, дело направлено на новое рассмотрение в арбитражный суд первой инстанции. В кассационной жалобе, поданной в Судебную коллегию по экономическим спорам Верховного Суда Российской Федерации, заявитель, выражая несогласие с постановлением от 14.04.2022, просил пересмотреть его в порядке кассационного производства, ссылаясь на его незаконность. По смыслу части 1 статьи 2911, части 7 статьи 2916,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не имеется. Постановление от 14.04.2022 арбитражным судом округа принято в соответствии с полномочиями, предусмотренными статьей 287 Кодекса. Установленные статьей 286 Кодекса пределы рассмотрения дела в данной инстанции арбитражного суда не нарушены. Направляя дело на новое рассмотрение в арбитражный суд первой инстанции, арбитражный суд округа пришел к выводу о том, что судами неправильно применены нормы материального права, поскольку в связи с получением в результате раздела совместно нажитого имущества части доли в хозяйственном обществе у истца, применительно к обстоятельствам рассматриваемого спора, возникло право, а также волеизъявление на получение ее действительной стоимости. Арбитражный суд округа указал на необходимость суду разрешить вопрос о размере действительной стоимости доли, подлежащей выплате истцу. Нарушений норм материального права арбитражным судом округа не допущено. Позиция, занятая судом кассационной инстанции, соответствует сложившейся практике рассмотрения споров данной категории дел. Оснований считать необоснованным направление дела на новое рассмотрение не имеется. С учетом изложенного основания для пересмотра постановления от 14.04.2022 в Судебной коллегии по экономическим спорам Верховного Суда Российской Федерации в порядке кассационного производства отсутствуют. Руководствуясь статьями 2911, 2916, 2918, 29111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«Энергия-Стройсервис»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Е.Н.Золотова Суд: Верховный Суд РФ (подробнее) Ответчики: ООО "Энергия-Стройсервис" (подробнее) Последние документы по делу: Определение от 24 июня 2024 г. по делу № А40-54756/2021 Определение от 5 мая 2024 г. по делу № А40-54756/2021 Определение от 1 августа 2022 г. по делу № А40-54756/2021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