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рассматривая спор о взыскании денежных средств, суды трех инстанций, руководствуясь положениями статей 4061, 421 Гражданского кодекса Российской Федерации и установив наличие на стороне ответчика обязанности по возврату истцу заранее согласованных имущественных потерь, размер которых подтвержден материалами дела, пришли к выводу о наличии оснований для удовлетворения заявленного требования.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«Платежный»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расчетная небанковская кредитная организация "Единая касса" (подробнее) Ответчики: ООО "ПЛАТЕЖНЫЙ"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