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«Главное управление обустройства войск» (далее – АО «ГУОВ», Компания) обратилось в Арбитражный суд города Москвы с исковым заявлением к акционерному обществу «Ремонтно-эксплуатационное управление» (далее – АО «РЭУ», Общество, заявитель) о взыскании неосновательного обогащения в размере 173 201 863,19 руб., процентов за пользование чужими денежными средствами в сумме 1 067 682,72 руб. Решением Арбитражного суда города Москвы от 26.10.2023, оставленным без изменения постановлением Девятого арбитражного апелляционного суда от 23.01.2024, иск удовлетворен. Постановлением Арбитражного суда Московского округа от 10.04.2024 указанные судебные акты оставлены без изменения.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Обществом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(не предоставлена справка из Банка ВТБ (публичное акционерное общество) по открытому счету). Довод заявителя о том, что указанный расчетный счет открыт как специальный банковский счет и находящиеся на нем денежные средства предназначены исключительно для погашения требований по возврату задатков, отклоняется как документально неподтвержденный. Признание Общества несостоятельным (банкротом) и введение в отношении него конкурсного производства без представления названных документов не могут свидетельствовать об отсутствии у заявителя возможности уплатить государственную пошлину. При таком положении в удовлетворении ходатайства Общества о предоставлении отсрочки по уплате государственной пошлины за рассмотрение кассационной жалобы следует отказать, а кассационную жалобу возвратить заявителю без рассмотрения по существу на основании статьи 291.5 АПК РФ . На основании изложенного, руководствуясь статьями 184 - 185 , 291.5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«Ремонтно-эксплуатационное управление» о предоставлении отсрочки по уплате государственной пошлины отказать. Кассационную жалобу акционерного общества «Ремонтно-эксплуатационное управление» на решение Арбитражного суда города Москвы от 26.10.2023, постановление Девятого арбитражного апелляционного суда от 23.01.2024 и постановление Арбитражного суда Московского округа от 10.04.2024 по делу № А40-104885/2023 возвратить. Судья Верховного Суда Российской Федерации Н.С. Чучунова Суд: Верховный Суд РФ (подробнее) Истцы: АО "Главное управление обустройства войск" (подробнее) Ответчики: АО "РЕМОНТНО-ЭКСПЛУАТАЦИОННОЕ УПРАВЛЕНИЕ"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