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СтройЖилСервис» (далее – ООО «УК СтройЖилСервис», истец, заявитель) обратилось в Арбитражный суд города Москвы с иском о взыскании с Администрации поселения Воскресенское (далее - ответчик) убытков по муниципальному контракту № 01483000082200000100001 от 15.12.2020 в размере 3 573 345,96 руб. Решением Арбитражного суда города Москвы от 25.08.2023, оставленным без изменения постановлением Девятого арбитражного апелляционного суда от 22.11.2023, в удовлетворении исковых требований отказано. Постановлением Арбитражного суда Московского округа от 22.02.2024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штраф был рассчитан ответчиком неправильно, поскольку подлежал применению пункт 7.5 контракта, предусматривающий пониженный размер штрафа для случаев закупки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(у субъектов малого предпринимательства и социально значимых некоммерческих организаций); суды неправомерно сослались на судебные акты по делам №№ А40-183442/2021, А40-208129/2022, А40-183442/2021, А40-31399/2022, поскольку в рамках указанных дел судами не исследовалась методика расчета штрафа, иски заявлялись по другим основаниям.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сторонами заключен муниципальный контракт № 01483000082200000100001 от 15.12.2020 на выполнение работ по содержанию дворовых территорий поселения Воскресенское в 2021 году. Во исполнение контракта истец предоставил ответчику банковскую гарантию № 9991-4R1/419749 от 08.12.2021, согласно которой гарантом выступало ПАО «Банк Уралсиб». По условиям банковской гарантии гарант безотзывно обязуется выплатить ответчику любую сумму, не превышающую 4 503 345,96 руб. с момента поступления письменного требования ответчика, содержащего указание на то, в чем состоит нарушение истцом обязательств, в обеспечение которых выдана банковская гарантия. 17.01.2022 ответчик направил в адрес банка претензию о ненадлежащем исполнении истцом своих обязательств согласно условиям договора, выразившееся в нарушении сроков выполнения работ. Согласно претензии ответчик потребовал уплатить неустойку в размере 4 503 345,96 руб. Гарант исполнил требование и перечислил сумму на лицевой счет ответчика. В свою очередь гарант письмом от 26.01.2022 направил в адрес истца требование о возмещении средств, уплаченных по гарантии № 99914R1/419749 от 08.12.2021. Истец исполнил требование гаранта и по платежным поручениям № 31 от 29.04.2022 № 60 от 27.06.2022 оплатил гаранту 4 373 345,96 руб. В обоснование исковых требований истец ссылается на то, что ответчиком необоснованно произведен расчет неустойки с неправильным применением условий контракта, в результате чего истец понес убытки на сумму 3 573 345,96 руб., составляющих разницу между начисленной ответчиком неустойки на основании пункта 7.4 контракта и подлежащей начислению на основании пункта 7.5 контракта. Поскольку реализованный досудебный порядок урегулирования спора не принес положительного результата, истец обратился в суд с настоящим иском.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приняв во внимание обстоятельства, установленные в рамках дел №№ А40-183442/2021, А40208129/2022, А40-183442/2021, А40-31399/2022, руководствуясь статьями 15 , 393 Гражданского кодекса Российской Федерации (далее – ГК РФ), разъяснениями, изложенными в пункте 11-12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24.03.2016г. № 7 «О применении судами некоторых положений Гражданского кодекса Российской Федерации об ответственности за нарушение обязательств», пришли к выводу о том, что истец не подтвердил наличие всех элементов состава гражданско-правового нарушения, необходимого и достаточного для привлечения ответчика к ответственности в виде возмещения убытков в заявленной сумме, в связи с чем отказали в иске. Отклоняя доводы истца об ошибочном расчете штрафа, суды сослались на вступившие в законную силу решения судов по делам №№ А40-183442/21, А40-208129/22, А40-183442/21, А40-31399/22, в рамках которых установлены обстоятельства правомерности начисления штрафа по пункту 7.4 контракта.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СтройЖилСервис»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СТРОЙЖИЛСЕРВИС" (подробнее) Ответчики: Администрация поселения Воскресенское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