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Москвы с исковым заявлением к публичному акционерному обществу «Росбанк», акционерному обществу Коммерческий банк «Ситибанк» о солидарном взыскании 30 729 311 рублей 87 копеек убытков в виде курсовой разницы между стоимостью ADR публичного акционерного общества «Лукойл» и публичного акционерного общества «Татнефть» и 2 316 808 рублей 52 копеек процентов за пользование чужими денежными средствами за период с 12.04.2022 по 01.06.2022. Вступившим в законную силу решением Арбитражного суда города Москвы от 27.12.2022 в удовлетворении требований отказано. ФИО1 обратился в арбитражный суд с заявлением о пересмотре решения от 27.12.2022 по вновь открывшимся обстоятельствам. Определением Арбитражного суда города Москвы от 11.09.2023, оставленным без изменения постановлением Девятого арбитражного апелляционного суда от 05.12.2023 и постановлением Арбитражного суда Московского округа от 19.03.2024,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судами норм процессуального права. В обоснование доводов жалобы заявитель указывает, что сведения, содержащиеся в письмах налогового органа, обладают признаками вновь открывшихся обстоятельств.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 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указав, что названные обстоятельства не относятся к вновь открывшимися по смыслу приведенных выше норм. Кроме того, первоначальным документом, обосновывающим заявление о пересмотре решения от 27.12.2022 по вновь открывшимся обстоятельствам, являлось письмо Управления от 25.07.2022 о том, что истец вправе учесть расходы, понесенные в связи с приобретением депозитарных расписок, конвертированных в акции при подаче налоговой декларации по окончании налогового периода 2022 года в размере 21 005 187 рублей. Названное письмо Управления существовал на момент вынесения судом решения и было известно истцу. Данный документ сам по себе не подтверждает наличие существенных для дела обстоятельств, поскольку в процессе спора устанавливалась дата приобретения ценных бумаг, которая в представленных письмах отсутствует.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ПАО РОСБАНК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