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доводы, приведенные Обществом в обоснование ходатайства о восстановлении пропущенного срока на подачу жалобы, признаны судом уважительными причинами пропуска срока, данное ходатайство подлежит удовлетворению на основании части 2 статьи 291.2 АПК РФ . Принимая во внимание изложенное и руководствуясь статьями 117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«СеверСтройЛес» о восстановлении пропущенного процессуального срока на решение Арбитражного суда Мурманской области от 15.04.2023, постановление Тринадцатого арбитражного апелляционного суда от 22.08.2023 и постановление Арбитражного суда Северо-Западного округа от 07.12.2023 по делу № А42-114/2023. Судья Верховного Суда Российской Федерации А.А. Якимов Суд: Верховный Суд РФ (подробнее) Истцы: ООО "Северстройлес" (подробнее) Ответчики: Управление Федеральной службы государственной регистрации, кадастра и картографии по МО (подробнее) Иные лица: а/у Колинько Э.Б. (подробнее) КОМИТЕТ ИМУЩЕСТВЕННЫХ ОТНОШЕНИЙ Г. МУРМАНСКА (подробнее) Судьи дела: Чучунова Н.С. (судья) (подробнее) Последние документы по делу: Определение от 18 июня 2024 г. по делу № А42-114/2023 Определение от 23 апреля 2024 г. по делу № А42-114/2023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