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Судебную коллегию по экономическим спорам Верховного Суда Российской Федерации с указанной кассационной жалобой, одновременно заявив ходатайство о восстановлении пропущенного срока её подачи. Согласно части 1 статьи 291 f56468f 1 - 8 bb 7 -423b-ae03-f 5 abb 34 e05a 8 Арбитражного процессуального кодекса Российской Федерации (далее -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данным Кодексом. В соответствии с частями 1, 2 статьи 117 АПК РФ процессуальный срок подлежит восстановлению по ходатайству лица, участвующего в деле, если иное не предусмотрено данным Кодексом. Арбитражный суд восстанавливает пропущенный процессуальный срок, если признает причины пропуска уважительными и если не истекли предусмотренные данным Кодексом предельные допустимые сроки для восстановления. Рассмотрев ходатайство о восстановлении процессуального срока, изучив приведенные заявителем причины пропуска процессуального срока, учитывая, что ходатайство заявлено в пределах шести месяцев со дня вступления в законную силу последнего обжалуемого судебного акта, судья усматривает основания для удовлетворения ходатайства. Руководствуясь статьями 117 , 184 , 291 a60796f 5 - 10 eb- 4 e 93 - 9 fb 3 -c731a3271f 17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закрытому акционерному обществу «Траскон Текнолоджи» срок подачи кассационной жалобы. Судья Верховного Суда Российской Федерации Р.А. Хатыпова Суд: Верховный Суд РФ (подробнее) Истцы: ООО "ПРОМИНВЕСТСТРОЙ-У" (подробнее) Ответчики: ЗАО "ТРАСКОН ТЕКНОЛОДЖИ" (подробнее) Судьи дела: Хатыпова Р.А. (судья) (подробнее) Последние документы по делу: Определение от 12 июня 2024 г. по делу № А40-250883/2022 Определение от 12 марта 2024 г. по делу № А40-250883/2022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