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Чесноков Сергей Иванович обратился в Арбитражный суд города Москвы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Управляющая компания «Красные ворота» о взыскании 23 974 822 рублей убытков. Определением от 06.06.2023 Арбитражного суда города Москвы привлек к участию в деле в порядке статьи 46 АПК РФ в качестве соистца Конышева Валерия Александровича. До рассмотрения дела по существу, в порядке статьи 49 АПК РФ, истцы уточнили требования и просили взыскать с ответчика в пользу Чеснокова С.И. 11 897 411 рублей и в пользу Конышева В.А. 11 897 411 рублей. Решением Арбитражного суда города Москвы от 13.07.2023, оставленным без изменения постановлением Девятого арбитражного 2 апелляционного суда от 19.10.2023 и постановлением Арбитражного суда Московского округа от 22.02.2024,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В соответствии с частью 1 статьи 291.2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Частью 2 указанной статьи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Последним обжалуемым судебным актом является постановление суда округа от 22.02.2024, тогда как кассационная жалоба подана в электронном виде через систему Мой арбитр 06.06.2024, то есть с пропуском установленного срока. Арбитражный суд восстанавливает пропущенный процессуальный срок, если признает причины пропуска срока уважительными (часть 2 статьи 117 АПК РФ). Подача ходатайства о восстановлении процессуального срока на обжалование судебных актов само по себе не является основанием для восстановления процессуального срока. При рассмотрении вопроса о восстановлении пропущенного процессуального срока арбитражный суд в каждом конкретном случае выясняет, являются ли причины его пропуска уважительными.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В рассматриваемом случае заявителями не приведено уважительных причин в обоснование ходатайства о восстановлении процессуального срока. Кроме того, Чесноков С.И. являлся инициатором кассационного обжалования и присутствовал в судебном заседании суда округа на рассмотрении кассационной жалобы. Таким образом, заявитель имел реальную возможность в установленный законом срок подготовить надлежащим образом и направить жалобу в адрес Верховного Суда Российской Федерации. 3 Согласно статье 9 АПК РФ лица, участвующие в деле, несут риск наступления последствий совершения или не совершения ими процессуальных действий. Руководствуясь статьями 117, 184, 291.2,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Чеснокова Сергея Ивановича о восстановлении пропущенного процессуального срока. Кассационную жалобу на решение Арбитражного суда города Москвы от 13.07.2023, постановление Девятого арбитражного апелляционного суда от 19.10.2023 и постановление Арбитражного суда Московского округа от 22.02.2024 по делу № А40-8999/2023 возвратить.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