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производстве Верховного Суда Российской Федерации находится кассационная жалоба общества на вышеуказанные судебные акты. До рассмотрения кассационной жалобы от общества поступило ходатайство о ее возвращении без рассмотрения по существу. В соответствии с пунктом 4 части 1 статьи 2915 Арбитражного процессуального кодекса Российской Федерации кассационная жалоба возвращается без рассмотрения по существу, если поступило ходатайство о возвращении или об отзыве кассационной жалобы. Из материалов кассационного производства усматривается, что отзыв кассационной жалобы не противоречит закону и не нарушает прав других лиц. При таких обстоятельствах ходатайство об отзыве кассационной жалобы подлежит удовлетворению, а жалоба - возврату без рассмотрения по существу. Руководствуясь статьями 184 и 2915 Арбитражного процессуального кодекса Российской Федерации,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общества с ограниченной ответственностью «Торговая компания «Мираторг» об отзыве кассационной жалобы. Кассационную жалобу на постановление Арбитражного суда Северо-Западного округа от 20.02.2024 по делу № А56-49245/2022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