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областное государственное бюджетное учреждение «Управление капитального строительства Белгородской области» (далее – истец) обратилось в Арбитражный суд Белгородской области с иском к акционерному обществу «Монтажторгстрой» (далее – ответчик) о взыскании 2 347 182 рублей 09 копеек пеней за просрочку исполнения обязательств по контракту от 02.11.2020 № 13/1058 за период с 21.12.2021-13.04.2022. Решением Арбитражного суда Белгородской области от 15.05.2023 истцу отказано в удовлетворении требований, с истца в доход федерального бюджета взыскано 34 736 рублей государственной пошлины. Постановлением Девятнадцатого арбитражного апелляционного суда от 25.07.2023 решение суда первой инстанции отменено в части взыскания с истца 34 736 рублей государственной пошлины, в остальной части решение оставлено без изменения. Арбитражный суд Центрального округа постановлением от 07.12.2023 отменил постановление суда апелляционной инстанции в части отмены решения суда первой инстанции о взыскании с истца в доход федерального бюджета государственной пошлины, в указанной части оставил в силе решение суда первой инстанции; взыскал с истца в пользу ответчика 3 000 рублей в возмещение судебных расходов по уплате государственной пошлины за рассмотрение кассационной жалобы. Истец обратился в Верховный Суд Российской Федерации с кассационной жалобой на решение суда первой инстанции и постановление суда округа, в которой просит их отменить в части взыскания с истца государственной пошлины за рассмотрение дела в суде первой инстанции и в суде округа. Письмом судьи Верховного Суда Российской Федерации от 04.04.2024 были истребованы материалы дела из Арбитражного суда Белгородской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суды пришли к выводу об отсутствии оснований для удовлетворения заявленных истцом требований. При этом, отказывая в удовлетворении требований, руководствуясь положениями Арбитражного процессуального кодекса Российской Федерации и Налогового кодекса Российской Федерации, пунктом 32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суд первой инстанции взыскал с истца в доход федерального бюджета государственную пошлину в размере 34 736 рублей. Суд округа признал правомерными выводы суда первой инстанции и на основании статьи 110 Арбитражного процессуального кодекса Российской Федерации взыскал с истца в пользу ответчика расходы по уплате государственной пошлины за рассмотрение кассационной жалобы.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ОГБУ "Управление капитального строительства Белгородской области" (подробнее) Ответчики: ЗАО "МОНТАЖТОРГСТРОЙ"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