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27.05.2024 обратился в Верховный Суд Российской Федерации с кассационной жалобой, одновременно заявив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Рассмотрев ходатайство о восстановлении срока, судья Верховного Суда Российской Федерации не находит оснований для его удовлетворения. Как следует из обжалуемых судебных актов, заявитель являлся инициатором обращения с кассационной жалобой в суд округа, и знал о состоявшихся судебных актах. Текст последнего обжалуемого судебного акта согласно данным Картотеки арбитражных дел своевременно размещен в сети Интернет и с этого момента был доступен для ознакомления и подготовки жалобы. Нарушение порядка подачи первоначальной кассационной жалобы и последующее устранение такого нарушения само по себе не является уважительной причиной и не может служить самостоятельным основанием к восстановлению пропущенного процессуального срока. Надлежащая подача кассационной жалобы находится в компетенции заявителя, и зависит только от его волеизъявления. Лица, участвующие в деле, несут риск наступления последствий совершения или несовершения ими процессуальных действий (статья 9 Арбитражного процессуального кодекса Российской Федерации). Произвольное восстановление процессуального срока на обжалование судебных актов нарушало бы принцип равноправия сторон, установленный статьей 8 Арбитражного процессуального кодекса Российской Федерации. Руководствуясь статьями 117, 2915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«Промпоставка» о восстановлении пропущенного срока отказать, кассационную жалобу возвратить заявителю.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