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рассматривая исковое требование общества с ограниченной ответственностью «Энергокомплект» (далее - общество) и заявление Бартоломей М.Г., привлеченной к участию в деле в качестве третьего лица, заявляющего самостоятельные требования относительно предмета спора, суды, руководствуясь положениями статей 15, 16, 1069 Гражданского кодекса Российской Федерации, Федерального закона от 02.10.2007 № 229-ФЗ «Об исполнительном производстве», правовой позицией Пленума Верховного Суда Российской Федерации, изложенной в пункте 12 постановления от 23.06.2015 № 25 «О применении судами некоторых положений раздела I части первой Гражданского кодекса Российской Федерации», пунктах 80, 82 постановления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наличии оснований для удовлетворения иска общества и об отсутствии оснований для удовлетворения требования Бартоломей М.Г. Судебные инстанции исходили из наличия причинно-следственной связи между бездействием (действием) судебных приставов-исполнителей и 2 убытками, причиненными обществу. При этом признали отсутствие совокупности условий для привлечения ответчика к гражданско-правовой ответственности в виде возмещения убытков по заявлению Бартоломей М.Г. 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приставов, Главному управлению Федеральной службы судебных приставов по Пермскому краю и Бартоломей Марии Геннадьевне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