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«Питератоммаш» обратилось в Арбитражный суд города Санкт-Петербурга и Ленинградской области с иском к ФИО1 о взыскании 18 718 326 рублей убытков.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ФИО2. Решением Арбитражного суда города Санкт-Петербурга и Ленинградской области от 28.02.2023, оставленным без изменения постановлением Тринадцатого арбитражного апелляционного суда от 14.09.2023 и постановлением Арбитражного суда Северо-Западного округа от 22.12.2023,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22.12.2023, тогда как кассационная жалоба поступила в Верховный Суд Российской Федерации 03.04.2024,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Санкт-Петербурга и Ленинградской области от 28.02.2023, постановление Тринадцатого арбитражного апелляционного суда от 14.09.2023 и постановление Арбитражного суда Северо-Западного округа от 22.12.2023 по делу № А56-56841/2022 восстановить. Судья Верховного СудаРоссийской Федерации Н.С. Чучунова Суд: Верховный Суд РФ (подробнее) Истцы: ООО "ПИТЕРАТОММАШ" (подробнее) Иные лица: Зыков Владимир Игоревич (предст) Жаркова И.В.)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