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страховое акционерное общество «ВСК» (далее – Общество) обратилось в Арбитражный суд города Москвы с исковым заявлением к индивидуальному предпринимателю Настенко Светлане Николаевне (далее – Предприниматель) о признании недействительным агентского договора от 09.04.2019 № 13905720001 и применении последствий его недействительности в виде взыскания 2 423 980 рублей 41 копейки неосновательного обогащения. К участию в деле в качестве третьих лиц, не заявляющих самостоятельных требований относительно предмета спора, привлечены ИП Калиновский Е.В., ИП Ридаль И.А., ИП Саитова Р.В., Настенко Б.А. Решением Арбитражного суда города Москвы от 22.05.2023, оставленным без изменения постановлением Девятого арбитражного апелляционного суда от 28.08.2023 и постановлением Арбитражного суда Московского округа от 02.02.2024,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договор является сделкой с заинтересованностью, заключенной с целью причинения ущерба Обществу. 2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09.04.2019 между Обществом (принципал) и Предпринимателем (страховой агент) заключен агентский договор № 13905720001. Исковые требования мотивированы тем, что данный договор подписан в ущерб интересам Общества, поскольку заключен в результате действий заинтересованного работника истца с аффилированным лицом, в сговоре с последним, с целью получения необоснованных комиссионных вознаграждений. Исследовав и оценив по правилам статьи 71 АПК РФ представленные доказательства, руководствуясь статьями 10, 166-168, 174, 195, 196, 199, 200, 1102 Гражданского кодекса Российской Федерации, разъяснениями, изложенными в пункте 50 постановления Пленума Верховного Суда Российской Федерации от 23.06.2015№25 «О применении судами некоторых положений раздела 1 части первой Гражданского кодекса Российской Федерации», суды отказали в удовлетворении требований, констатировав наличие в материалах дела документов, подтверждающих оказание услуг,подписанных истцом актов выполненных работ. Самостоятельным основанием к отказу в иске суды признали пропуск срока исковой давности, который следует исчислять с даты наступления обязанности по оплате работ (услуг), после подписания первичного акта выполненных работ, то есть 11.11.2019, в то время как истец обратился в суд 23.11.2022.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страхового акционерного общества «ВСК» для рассмотрения в судебном заседании Судебной коллегии по экономическим спорам Верховного Суда Российской Федерации. 3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