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информационной политики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