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«Молодежно-студенческий центр «Лидер» (далее – Общество) обратилось в Арбитражный суд города Москвы с исковым заявлением к ФИО1 о взыскании 849 388 рублей 03 копеек убытков. Решением Арбитражного суда города Москвы от 08.08.2023, оставленным без изменения постановлением Девятого арбитражного апелляционного суда от 24.11.2023 и постановлением Арбитражного суда Московского округа от 22.02.2024,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сама по себе выплата премий не является противоправным поведением, так как осуществлялась с учетом сложившейся в Обществе практики; суды неправомерно ограничили истца в представлении доказательств по делу.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учредителем Общества является единственный его участник ФИО2 Решением учредителя от 18.03.2020 № 7 ФИО1 назначен на должность генерального директора Общества сроком на 5 лет. В обоснование требований по настоящему иску, Общество сослалось на то, что ФИО1 в силу учредительных документов, а также заключенных трудовых договоров, не имел права в одностороннем порядке начислять и выплачивать себе премии.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Пунктом 1 статьи 53.1 Гражданского кодекса установлено, что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исследовав доказательства по правилам статьи 71 АПК РФ , руководствуясь названными выше положениями действующего законодательства, регулирующими спорные отношения, а также разъяснениями, изложенными в пункте 2 постановления Пленума Верховного Суда Российской Федерации от 02.06.2015 № 21 «О некоторых вопросах, возникших у судов при применении законодательства, регулирующего труд руководителя организации и членов коллегиального исполнительного органа организации», суды удовлетворили заявленные требования, придя к выводу о наличии необходимой совокупности условий для привлечения ответчика к гражданско-правовой ответственности в виде взыскания убытков, исходя из того, что ни устав Общества, ни иные внутренние (локальные) акты, не наделяли генерального директора полномочиями по премированию себя лично без согласия (одобрения) участников юридического лица и его органов управления. Суды отклонили ссылку ответчика об отсутствии возражений истца, ежегодно утверждающего отчет о прибылях и бухгалтерскую отчетность, указав, что выплате премий генеральному директору предшествует необходимость согласования (одобрения) общим собранием участников.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"МОЛОДЁЖНО-СТУДЕНЧЕСКИЙ ЦЕНТР "ЛИДЕР"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