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Калашника Вадима Олеговича в Арбитражный суд города Санкт-Петербурга и Ленинградской области обратился финансовый управляющий его имуществом с заявлением о признании недействительным договора купли-продажи квартиры от 07.04.2020, заключенного должником с Петровым А.П. и Барулиной Е.А., и применении последствий недействительности сделки в виде обязания ответчиков возвратить квартиру в конкурсную массу должника. Определением Арбитражного суда города Санкт-Петербурга и Ленинградской области от 29.08.2023, оставленным без изменения постановлением Тринадцатого арбитражного апелляционного суда от 27.11.2023 и постановлением Арбитражного суда Северо-Западного округа от 26.02.2024, в удовлетворении заявления отказано. Чигирева Н.В.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договора купли-продажи квартиры недействительным как совершенного с целью причинения вреда имущественным правам кредитора, а также недоказанности недобросовестного поведения сторон сделки, установив возмездность и равноценность совершенной сторонами сделки в отсутствие признаков неплатежеспособности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