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указанный судебный акт подана заявителем (согласно оттиску почтового штемпеля на конверте) 21.05.2024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Обжалуемым судебным актом является постановление Арбитражного суда Поволжского округа от 04.12.2023, вступившее в законную силу, согласно части 5 статьи 289 АПК РФ, со дня его принятия – 04.12.2023, следовательно, двухмесячный срок на подачу кассационной жалобы истек 05.02.2024 (с учетом выходного дня), тогда как жалоба подана 21.05.2024. Одновременно с подачей жалобы Хавратовым К.А. заявлено ходатайство о восстановлении пропущенного процессуального срока. В качестве причины пропуска срока указано ознакомление с текстом постановления окружного суда 15.05.2024. Между тем, указанное обстоятельство не является уважительной причиной пропуска срока на подачу кассационной жалобы и не продлевает установленный процессуальным законодательством срок на обжалование судебного акта, учитывая, что текст постановления окружного суда от 04.12.2023 своевременно размещен судом и опубликован в информационно- телекоммуникационной сети «Интернет» 05.12.2023, в связи с чем у заявителя имелось достаточно времени для ознакомления с текстом судебного акта, подготовки и подачи жалобы в установленный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Хавратову Кириллу Александровичу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