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оснований для передачи кассационной жалобы на рассмотрение в судебном заседании Судебной коллегии Верховного Суда Российской Федерации не имеется, ходатайство о приостановлении исполнения решения рассмотрению не подлежит (часть 5 статьи 2916 Арбитражного процессуального кодекса Российской Федерации).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внутренних дел Российской Федерации и Управлению Министерства внутренних дел Российской Федерации по Брянской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"Авточехлы Брянск" (подробнее) Ответчики: МВД РФ в лице УМВД России по Брянской области (подробнее) Министерство внутренних дел Российской Федерации (подробнее) Министерство финансов Российской Федерации в лице Управления Федерального казначейства по Брянской области (подробнее) ООО "Содружество" (подробнее) Иные лица: АНО "Независимая Коллегия Экспертов" (подробнее) АНО "НИИЭ" (подробнее) АНО "Центр независимой экспертизы и правовой защиты" (подробнее) Научно-исследовательский институт экспертиз (подробнее) Независимая экспертная организация (подробнее) ООО "А-Класс" (подробнее) ООО "Брянский оценщик" в лице директора Попова Александра Александровича (подробнее) ООО "ОК "ВарМи" (подробнее) УМВД РФ по Брянской области (подробнее) Член СРО "РОО"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